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78" w:lineRule="exact"/>
        <w:ind w:right="100"/>
        <w:jc w:val="center"/>
        <w:rPr>
          <w:color w:val="auto"/>
          <w:sz w:val="20"/>
          <w:szCs w:val="20"/>
        </w:rPr>
      </w:pPr>
      <w:bookmarkStart w:id="0" w:name="page1"/>
      <w:bookmarkEnd w:id="0"/>
      <w:r>
        <w:rPr>
          <w:rFonts w:ascii="华文中宋" w:hAnsi="华文中宋" w:eastAsia="华文中宋" w:cs="华文中宋"/>
          <w:color w:val="FF0000"/>
          <w:sz w:val="36"/>
          <w:szCs w:val="36"/>
        </w:rPr>
        <w:t>《综合素质》作文部分</w:t>
      </w:r>
    </w:p>
    <w:p>
      <w:pPr>
        <w:spacing w:after="0" w:line="198" w:lineRule="exact"/>
        <w:rPr>
          <w:color w:val="auto"/>
          <w:sz w:val="24"/>
          <w:szCs w:val="24"/>
        </w:rPr>
      </w:pPr>
    </w:p>
    <w:p>
      <w:pPr>
        <w:spacing w:after="0" w:line="370" w:lineRule="exact"/>
        <w:rPr>
          <w:color w:val="auto"/>
          <w:sz w:val="20"/>
          <w:szCs w:val="20"/>
        </w:rPr>
      </w:pPr>
      <w:r>
        <w:rPr>
          <w:rFonts w:ascii="微软雅黑" w:hAnsi="微软雅黑" w:eastAsia="微软雅黑" w:cs="微软雅黑"/>
          <w:color w:val="FF0000"/>
          <w:sz w:val="28"/>
          <w:szCs w:val="28"/>
        </w:rPr>
        <w:t>一、考试概况</w:t>
      </w:r>
    </w:p>
    <w:p>
      <w:pPr>
        <w:spacing w:after="0" w:line="217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21"/>
          <w:szCs w:val="21"/>
        </w:rPr>
        <w:t>1</w:t>
      </w:r>
      <w:r>
        <w:rPr>
          <w:rFonts w:ascii="宋体" w:hAnsi="宋体" w:eastAsia="宋体" w:cs="宋体"/>
          <w:color w:val="auto"/>
          <w:sz w:val="21"/>
          <w:szCs w:val="21"/>
        </w:rPr>
        <w:t>、分值：</w:t>
      </w:r>
      <w:r>
        <w:rPr>
          <w:rFonts w:ascii="Calibri" w:hAnsi="Calibri" w:eastAsia="Calibri" w:cs="Calibri"/>
          <w:color w:val="auto"/>
          <w:sz w:val="21"/>
          <w:szCs w:val="21"/>
        </w:rPr>
        <w:t xml:space="preserve">50 </w:t>
      </w:r>
      <w:r>
        <w:rPr>
          <w:rFonts w:ascii="宋体" w:hAnsi="宋体" w:eastAsia="宋体" w:cs="宋体"/>
          <w:color w:val="auto"/>
          <w:sz w:val="21"/>
          <w:szCs w:val="21"/>
        </w:rPr>
        <w:t>分（综合素质总分的</w:t>
      </w:r>
      <w:r>
        <w:rPr>
          <w:rFonts w:ascii="Calibri" w:hAnsi="Calibri" w:eastAsia="Calibri" w:cs="Calibri"/>
          <w:color w:val="auto"/>
          <w:sz w:val="21"/>
          <w:szCs w:val="21"/>
        </w:rPr>
        <w:t xml:space="preserve"> 1/3</w:t>
      </w:r>
      <w:r>
        <w:rPr>
          <w:rFonts w:ascii="宋体" w:hAnsi="宋体" w:eastAsia="宋体" w:cs="宋体"/>
          <w:color w:val="auto"/>
          <w:sz w:val="21"/>
          <w:szCs w:val="21"/>
        </w:rPr>
        <w:t>）</w:t>
      </w:r>
    </w:p>
    <w:p>
      <w:pPr>
        <w:spacing w:after="0" w:line="94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21"/>
          <w:szCs w:val="21"/>
        </w:rPr>
        <w:t>2</w:t>
      </w:r>
      <w:r>
        <w:rPr>
          <w:rFonts w:ascii="宋体" w:hAnsi="宋体" w:eastAsia="宋体" w:cs="宋体"/>
          <w:color w:val="auto"/>
          <w:sz w:val="21"/>
          <w:szCs w:val="21"/>
        </w:rPr>
        <w:t>、体裁：议论文、论说文为主，个别要求记叙文；题材不限，诗歌除外。</w:t>
      </w:r>
    </w:p>
    <w:p>
      <w:pPr>
        <w:spacing w:after="0" w:line="95" w:lineRule="exact"/>
        <w:rPr>
          <w:color w:val="auto"/>
          <w:sz w:val="24"/>
          <w:szCs w:val="24"/>
        </w:rPr>
      </w:pPr>
    </w:p>
    <w:p>
      <w:pPr>
        <w:spacing w:after="0" w:line="296" w:lineRule="exact"/>
        <w:ind w:right="100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21"/>
          <w:szCs w:val="21"/>
        </w:rPr>
        <w:t>3</w:t>
      </w:r>
      <w:r>
        <w:rPr>
          <w:rFonts w:ascii="宋体" w:hAnsi="宋体" w:eastAsia="宋体" w:cs="宋体"/>
          <w:color w:val="auto"/>
          <w:sz w:val="21"/>
          <w:szCs w:val="21"/>
        </w:rPr>
        <w:t>、材料性质：哲理性的故事、对话、或观点</w:t>
      </w:r>
      <w:r>
        <w:rPr>
          <w:rFonts w:ascii="Calibri" w:hAnsi="Calibri" w:eastAsia="Calibri" w:cs="Calibri"/>
          <w:color w:val="auto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z w:val="21"/>
          <w:szCs w:val="21"/>
        </w:rPr>
        <w:t>一句话</w:t>
      </w:r>
      <w:r>
        <w:rPr>
          <w:rFonts w:ascii="Calibri" w:hAnsi="Calibri" w:eastAsia="Calibri" w:cs="Calibri"/>
          <w:color w:val="auto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z w:val="21"/>
          <w:szCs w:val="21"/>
        </w:rPr>
        <w:t>，倾向教育观、学生观内容。如赏识教育、挫折教育，平等对待每位学生等等。</w:t>
      </w:r>
    </w:p>
    <w:p>
      <w:pPr>
        <w:spacing w:after="0" w:line="128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21"/>
          <w:szCs w:val="21"/>
        </w:rPr>
        <w:t>4</w:t>
      </w:r>
      <w:r>
        <w:rPr>
          <w:rFonts w:ascii="宋体" w:hAnsi="宋体" w:eastAsia="宋体" w:cs="宋体"/>
          <w:color w:val="auto"/>
          <w:sz w:val="21"/>
          <w:szCs w:val="21"/>
        </w:rPr>
        <w:t>、考察内容：材料阅读、文字表达能力，也考查教育观、学生观等相关专业知识的把握和运用</w:t>
      </w:r>
    </w:p>
    <w:p>
      <w:pPr>
        <w:spacing w:after="0" w:line="131" w:lineRule="exact"/>
        <w:rPr>
          <w:color w:val="auto"/>
          <w:sz w:val="24"/>
          <w:szCs w:val="24"/>
        </w:rPr>
      </w:pPr>
    </w:p>
    <w:p>
      <w:pPr>
        <w:spacing w:after="0" w:line="370" w:lineRule="exact"/>
        <w:rPr>
          <w:color w:val="auto"/>
          <w:sz w:val="20"/>
          <w:szCs w:val="20"/>
        </w:rPr>
      </w:pPr>
      <w:r>
        <w:rPr>
          <w:rFonts w:ascii="微软雅黑" w:hAnsi="微软雅黑" w:eastAsia="微软雅黑" w:cs="微软雅黑"/>
          <w:color w:val="FF0000"/>
          <w:sz w:val="28"/>
          <w:szCs w:val="28"/>
        </w:rPr>
        <w:t>二、评分标准</w:t>
      </w:r>
    </w:p>
    <w:p>
      <w:pPr>
        <w:spacing w:after="0" w:line="158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auto"/>
          <w:sz w:val="21"/>
          <w:szCs w:val="21"/>
        </w:rPr>
        <w:t>1</w:t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、写作分数等级划分</w:t>
      </w:r>
    </w:p>
    <w:p>
      <w:pPr>
        <w:spacing w:after="0" w:line="2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5754370" cy="3181985"/>
            <wp:effectExtent l="0" t="0" r="1778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18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30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auto"/>
          <w:sz w:val="21"/>
          <w:szCs w:val="21"/>
        </w:rPr>
        <w:t>2</w:t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、写作硬性扣分项目</w:t>
      </w:r>
    </w:p>
    <w:p>
      <w:pPr>
        <w:spacing w:after="0" w:line="48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写作与文章相关的硬伤主要集中在内容残缺和语言表达基本功上，主要几大硬性扣分项目有</w:t>
      </w:r>
      <w:r>
        <w:rPr>
          <w:rFonts w:ascii="Calibri" w:hAnsi="Calibri" w:eastAsia="Calibri" w:cs="Calibri"/>
          <w:color w:val="auto"/>
          <w:sz w:val="21"/>
          <w:szCs w:val="21"/>
        </w:rPr>
        <w:t>:</w:t>
      </w:r>
    </w:p>
    <w:p>
      <w:pPr>
        <w:spacing w:after="0" w:line="127" w:lineRule="exact"/>
        <w:rPr>
          <w:color w:val="auto"/>
          <w:sz w:val="24"/>
          <w:szCs w:val="24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标题，不写，扣 5 分。</w:t>
      </w:r>
    </w:p>
    <w:p>
      <w:pPr>
        <w:spacing w:after="0" w:line="161" w:lineRule="exact"/>
        <w:rPr>
          <w:color w:val="auto"/>
          <w:sz w:val="24"/>
          <w:szCs w:val="24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文章结尾：不写，字数多于 600 字，扣 10 分;少于 600 字，残文 11 分以下。</w:t>
      </w:r>
    </w:p>
    <w:p>
      <w:pPr>
        <w:spacing w:after="0" w:line="159" w:lineRule="exact"/>
        <w:rPr>
          <w:color w:val="auto"/>
          <w:sz w:val="24"/>
          <w:szCs w:val="24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语句错误：2 个扣 1 分，5 个扣 3 分，多余 5 个，字句错误降等，降 12 分。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78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auto"/>
          <w:sz w:val="21"/>
          <w:szCs w:val="21"/>
        </w:rPr>
        <w:t>3</w:t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、特殊情况</w:t>
      </w:r>
    </w:p>
    <w:p>
      <w:pPr>
        <w:spacing w:after="0" w:line="129" w:lineRule="exact"/>
        <w:rPr>
          <w:color w:val="auto"/>
          <w:sz w:val="24"/>
          <w:szCs w:val="24"/>
        </w:rPr>
      </w:pPr>
    </w:p>
    <w:p>
      <w:pPr>
        <w:spacing w:after="0" w:line="240" w:lineRule="exact"/>
        <w:ind w:left="4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作文评分的主观性较强，阅卷考官的主观性喜好成为评分原则外的重要因素。立意、结构、语言、</w:t>
      </w:r>
    </w:p>
    <w:p>
      <w:pPr>
        <w:spacing w:after="0" w:line="168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卷面表现出色与否都可升降一个档次，</w:t>
      </w:r>
      <w:r>
        <w:rPr>
          <w:rFonts w:ascii="Calibri" w:hAnsi="Calibri" w:eastAsia="Calibri" w:cs="Calibri"/>
          <w:color w:val="auto"/>
          <w:sz w:val="21"/>
          <w:szCs w:val="21"/>
        </w:rPr>
        <w:t xml:space="preserve">12 </w:t>
      </w:r>
      <w:r>
        <w:rPr>
          <w:rFonts w:ascii="宋体" w:hAnsi="宋体" w:eastAsia="宋体" w:cs="宋体"/>
          <w:color w:val="auto"/>
          <w:sz w:val="21"/>
          <w:szCs w:val="21"/>
        </w:rPr>
        <w:t>分。</w:t>
      </w:r>
    </w:p>
    <w:p>
      <w:pPr>
        <w:spacing w:after="0" w:line="125" w:lineRule="exact"/>
        <w:rPr>
          <w:color w:val="auto"/>
          <w:sz w:val="24"/>
          <w:szCs w:val="24"/>
        </w:rPr>
      </w:pPr>
    </w:p>
    <w:p>
      <w:pPr>
        <w:spacing w:after="0" w:line="240" w:lineRule="exact"/>
        <w:ind w:left="4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由以上评分标准我们可以看出，教师资格证考试的写作相对而言比较规律，考生在备考的时候需要</w:t>
      </w:r>
    </w:p>
    <w:p>
      <w:pPr>
        <w:spacing w:after="0" w:line="161" w:lineRule="exact"/>
        <w:rPr>
          <w:color w:val="auto"/>
          <w:sz w:val="24"/>
          <w:szCs w:val="24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注意以下几点：</w:t>
      </w:r>
    </w:p>
    <w:p>
      <w:pPr>
        <w:spacing w:after="0" w:line="166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（</w:t>
      </w:r>
      <w:r>
        <w:rPr>
          <w:rFonts w:ascii="Calibri" w:hAnsi="Calibri" w:eastAsia="Calibri" w:cs="Calibri"/>
          <w:b/>
          <w:bCs/>
          <w:color w:val="FF0000"/>
          <w:sz w:val="21"/>
          <w:szCs w:val="21"/>
        </w:rPr>
        <w:t>1</w:t>
      </w: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）既然是教师资格证考试，就一定要把握好教育的方向；</w:t>
      </w:r>
    </w:p>
    <w:p>
      <w:pPr>
        <w:spacing w:after="0" w:line="132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（</w:t>
      </w:r>
      <w:r>
        <w:rPr>
          <w:rFonts w:ascii="Calibri" w:hAnsi="Calibri" w:eastAsia="Calibri" w:cs="Calibri"/>
          <w:b/>
          <w:bCs/>
          <w:color w:val="FF0000"/>
          <w:sz w:val="21"/>
          <w:szCs w:val="21"/>
        </w:rPr>
        <w:t>2</w:t>
      </w: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）综合素质上已经讲过了新课改下的教肓理念，因此，一定要理解的基础上牢记这些新的教育理念；</w:t>
      </w:r>
    </w:p>
    <w:p>
      <w:pPr>
        <w:spacing w:after="0" w:line="134" w:lineRule="exact"/>
        <w:rPr>
          <w:color w:val="auto"/>
          <w:sz w:val="24"/>
          <w:szCs w:val="24"/>
        </w:rPr>
      </w:pPr>
    </w:p>
    <w:p>
      <w:pPr>
        <w:spacing w:after="0" w:line="267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（</w:t>
      </w:r>
      <w:r>
        <w:rPr>
          <w:rFonts w:ascii="Calibri" w:hAnsi="Calibri" w:eastAsia="Calibri" w:cs="Calibri"/>
          <w:b/>
          <w:bCs/>
          <w:color w:val="FF0000"/>
          <w:sz w:val="21"/>
          <w:szCs w:val="21"/>
        </w:rPr>
        <w:t>3</w:t>
      </w:r>
      <w:r>
        <w:rPr>
          <w:rFonts w:ascii="宋体" w:hAnsi="宋体" w:eastAsia="宋体" w:cs="宋体"/>
          <w:b/>
          <w:bCs/>
          <w:color w:val="FF0000"/>
          <w:sz w:val="21"/>
          <w:szCs w:val="21"/>
        </w:rPr>
        <w:t>）注意捜集与教育（教师、学生、教学和学习）相关的名人名言和事例。</w:t>
      </w:r>
    </w:p>
    <w:p>
      <w:pPr>
        <w:spacing w:after="0" w:line="281" w:lineRule="exact"/>
        <w:rPr>
          <w:color w:val="auto"/>
          <w:sz w:val="24"/>
          <w:szCs w:val="24"/>
        </w:rPr>
      </w:pPr>
    </w:p>
    <w:p>
      <w:pPr>
        <w:spacing w:after="0"/>
        <w:sectPr>
          <w:pgSz w:w="11900" w:h="16838"/>
          <w:pgMar w:top="1143" w:right="1066" w:bottom="0" w:left="1380" w:header="0" w:footer="0" w:gutter="0"/>
          <w:cols w:equalWidth="0" w:num="1">
            <w:col w:w="9460"/>
          </w:cols>
        </w:sectPr>
      </w:pPr>
      <w:bookmarkStart w:id="2" w:name="_GoBack"/>
      <w:bookmarkEnd w:id="2"/>
      <w:bookmarkStart w:id="1" w:name="page2"/>
      <w:bookmarkEnd w:id="1"/>
    </w:p>
    <w:p>
      <w:pPr>
        <w:spacing w:after="0" w:line="223" w:lineRule="exact"/>
        <w:ind w:right="300"/>
        <w:jc w:val="both"/>
        <w:rPr>
          <w:rFonts w:hint="eastAsia" w:eastAsiaTheme="minorEastAsia"/>
          <w:color w:val="auto"/>
          <w:sz w:val="20"/>
          <w:szCs w:val="20"/>
          <w:lang w:eastAsia="zh-CN"/>
        </w:rPr>
      </w:pPr>
    </w:p>
    <w:sectPr>
      <w:type w:val="continuous"/>
      <w:pgSz w:w="11900" w:h="16838"/>
      <w:pgMar w:top="1143" w:right="1066" w:bottom="0" w:left="1380" w:header="0" w:footer="0" w:gutter="0"/>
      <w:cols w:equalWidth="0" w:num="1">
        <w:col w:w="9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NjM5NWQ1NzQ5MTU4ZTY2MmRlNGMzMjA2MzAxN2YifQ=="/>
  </w:docVars>
  <w:rsids>
    <w:rsidRoot w:val="00000000"/>
    <w:rsid w:val="642F72C8"/>
    <w:rsid w:val="69996726"/>
    <w:rsid w:val="7C9D1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546</Characters>
  <Lines>1</Lines>
  <Paragraphs>1</Paragraphs>
  <TotalTime>0</TotalTime>
  <ScaleCrop>false</ScaleCrop>
  <LinksUpToDate>false</LinksUpToDate>
  <CharactersWithSpaces>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2019-10-09T12:40:00Z</dcterms:created>
  <dc:creator>Windows User</dc:creator>
  <cp:lastModifiedBy>WPS_1670167047</cp:lastModifiedBy>
  <dcterms:modified xsi:type="dcterms:W3CDTF">2023-01-18T03:25:12Z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6373FC5D3BF74C30B2795EFA921AF984</vt:lpwstr>
  </property>
</Properties>
</file>